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DD8" w:rsidRDefault="00405D22" w:rsidP="00405D22">
      <w:pPr>
        <w:jc w:val="center"/>
        <w:rPr>
          <w:b/>
          <w:sz w:val="24"/>
          <w:szCs w:val="24"/>
        </w:rPr>
      </w:pPr>
      <w:r w:rsidRPr="00E40943">
        <w:rPr>
          <w:b/>
          <w:sz w:val="24"/>
          <w:szCs w:val="24"/>
        </w:rPr>
        <w:t>Exemple d’arrêté communal de défense extérieure contre l’incendie</w:t>
      </w:r>
    </w:p>
    <w:p w:rsidR="00E40943" w:rsidRPr="00E40943" w:rsidRDefault="00E40943" w:rsidP="00405D22">
      <w:pPr>
        <w:jc w:val="center"/>
        <w:rPr>
          <w:b/>
          <w:sz w:val="24"/>
          <w:szCs w:val="24"/>
        </w:rPr>
      </w:pPr>
    </w:p>
    <w:p w:rsidR="00E40943" w:rsidRDefault="00E40943" w:rsidP="00405D22">
      <w:pPr>
        <w:jc w:val="center"/>
        <w:rPr>
          <w:sz w:val="24"/>
          <w:szCs w:val="24"/>
        </w:rPr>
      </w:pPr>
      <w:r>
        <w:rPr>
          <w:sz w:val="24"/>
          <w:szCs w:val="24"/>
        </w:rPr>
        <w:t>Commune de XXXXXXXX</w:t>
      </w:r>
    </w:p>
    <w:p w:rsidR="00E40943" w:rsidRDefault="00E40943" w:rsidP="00405D2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Arrêté municipal </w:t>
      </w:r>
      <w:proofErr w:type="spellStart"/>
      <w:r>
        <w:rPr>
          <w:sz w:val="24"/>
          <w:szCs w:val="24"/>
        </w:rPr>
        <w:t>n°XXXX</w:t>
      </w:r>
      <w:proofErr w:type="spellEnd"/>
      <w:r>
        <w:rPr>
          <w:sz w:val="24"/>
          <w:szCs w:val="24"/>
        </w:rPr>
        <w:t xml:space="preserve"> relatif à la défense extérieure contre l’incendie </w:t>
      </w:r>
    </w:p>
    <w:p w:rsidR="00405D22" w:rsidRDefault="00405D22" w:rsidP="00E40943">
      <w:pPr>
        <w:rPr>
          <w:sz w:val="24"/>
          <w:szCs w:val="24"/>
        </w:rPr>
      </w:pPr>
    </w:p>
    <w:p w:rsidR="00E40943" w:rsidRDefault="00E40943" w:rsidP="00E40943">
      <w:pPr>
        <w:rPr>
          <w:sz w:val="24"/>
          <w:szCs w:val="24"/>
        </w:rPr>
      </w:pPr>
      <w:r>
        <w:rPr>
          <w:sz w:val="24"/>
          <w:szCs w:val="24"/>
        </w:rPr>
        <w:t>Le maire,</w:t>
      </w:r>
    </w:p>
    <w:p w:rsidR="00405D22" w:rsidRDefault="00405D22" w:rsidP="00CD5A5C">
      <w:pPr>
        <w:jc w:val="both"/>
      </w:pPr>
      <w:r>
        <w:t>Vu le code général des collectivités territoriales, notamment les articles</w:t>
      </w:r>
      <w:r w:rsidR="00C620DD">
        <w:t xml:space="preserve"> L2213-32, </w:t>
      </w:r>
      <w:r>
        <w:t xml:space="preserve">L. 2225-1 </w:t>
      </w:r>
      <w:r w:rsidR="00C620DD">
        <w:t>et L2225-2</w:t>
      </w:r>
      <w:r w:rsidR="00B264AD">
        <w:t> ;</w:t>
      </w:r>
    </w:p>
    <w:p w:rsidR="00B264AD" w:rsidRDefault="00B264AD" w:rsidP="00CD5A5C">
      <w:pPr>
        <w:jc w:val="both"/>
      </w:pPr>
      <w:r>
        <w:t xml:space="preserve">Vu le décret N°2015-235 du 27 février 2015 </w:t>
      </w:r>
      <w:r w:rsidR="00CD5A5C">
        <w:t xml:space="preserve">relatif à </w:t>
      </w:r>
      <w:r>
        <w:t>la défense extérieure contre l’incendie ;</w:t>
      </w:r>
    </w:p>
    <w:p w:rsidR="00CD5A5C" w:rsidRDefault="00CD5A5C" w:rsidP="00CD5A5C">
      <w:pPr>
        <w:jc w:val="both"/>
      </w:pPr>
      <w:r>
        <w:t xml:space="preserve">Vu l’arrêté ministériel du 15 décembre 2015 fixant le référentiel national de la défense extérieure contre l’incendie ; </w:t>
      </w:r>
    </w:p>
    <w:p w:rsidR="00CD5A5C" w:rsidRDefault="00B264AD" w:rsidP="00CD5A5C">
      <w:pPr>
        <w:jc w:val="both"/>
      </w:pPr>
      <w:r>
        <w:t>Vu l’arrêté préfectoral n°2017-677 du 29 mars 2017 portant approbation du règlement départemental de la défense extérieure contre l’incendie de la Meuse ;</w:t>
      </w:r>
    </w:p>
    <w:p w:rsidR="00A539E2" w:rsidRDefault="00A539E2" w:rsidP="00764D95">
      <w:pPr>
        <w:jc w:val="both"/>
      </w:pPr>
      <w:r>
        <w:t>Considérant qu’il y a lieu </w:t>
      </w:r>
      <w:r w:rsidR="00764D95">
        <w:t>d</w:t>
      </w:r>
      <w:r>
        <w:t>’identifier</w:t>
      </w:r>
      <w:r w:rsidR="00167987">
        <w:t xml:space="preserve"> les risques à prendre en compte</w:t>
      </w:r>
      <w:r w:rsidR="00764D95">
        <w:t xml:space="preserve">, de fixer en fonction des risques la quantité, la qualité et l’implantation </w:t>
      </w:r>
      <w:r w:rsidR="00EE15A7">
        <w:t>des</w:t>
      </w:r>
      <w:r w:rsidR="00167987">
        <w:t xml:space="preserve"> points d’eau incendie</w:t>
      </w:r>
      <w:r w:rsidR="00764D95">
        <w:t xml:space="preserve">, de déterminer </w:t>
      </w:r>
      <w:r>
        <w:t>les modalités de cont</w:t>
      </w:r>
      <w:r w:rsidR="00764D95">
        <w:t xml:space="preserve">rôle des points d’eau incendie et les </w:t>
      </w:r>
      <w:r>
        <w:t>modalités d’échange avec le Service Départemental d’Incendie et de Secours.</w:t>
      </w:r>
    </w:p>
    <w:p w:rsidR="00EE15A7" w:rsidRDefault="00E40943" w:rsidP="0042366D">
      <w:pPr>
        <w:jc w:val="center"/>
      </w:pPr>
      <w:r>
        <w:rPr>
          <w:u w:val="single"/>
        </w:rPr>
        <w:t xml:space="preserve">ARRETE </w:t>
      </w:r>
      <w:r w:rsidR="0042366D">
        <w:t>:</w:t>
      </w:r>
    </w:p>
    <w:p w:rsidR="00EE15A7" w:rsidRPr="0042366D" w:rsidRDefault="00EE15A7" w:rsidP="00405D22">
      <w:pPr>
        <w:rPr>
          <w:b/>
        </w:rPr>
      </w:pPr>
      <w:r w:rsidRPr="0042366D">
        <w:rPr>
          <w:b/>
        </w:rPr>
        <w:t xml:space="preserve">ARTICLE 1 : Identification des risques à prendre en compte </w:t>
      </w:r>
    </w:p>
    <w:p w:rsidR="000C5B33" w:rsidRDefault="00EE15A7" w:rsidP="001C68FE">
      <w:pPr>
        <w:jc w:val="both"/>
      </w:pPr>
      <w:r>
        <w:t>Le</w:t>
      </w:r>
      <w:r w:rsidR="00427243">
        <w:t xml:space="preserve">s risques </w:t>
      </w:r>
      <w:r w:rsidR="000C5B33">
        <w:t>à prendre en compte comprennent notamment :</w:t>
      </w:r>
    </w:p>
    <w:p w:rsidR="00B264AD" w:rsidRDefault="000C5B33" w:rsidP="000C5B33">
      <w:pPr>
        <w:pStyle w:val="Paragraphedeliste"/>
        <w:numPr>
          <w:ilvl w:val="0"/>
          <w:numId w:val="1"/>
        </w:numPr>
      </w:pPr>
      <w:r>
        <w:t>Les bâtiments d’habitation </w:t>
      </w:r>
    </w:p>
    <w:p w:rsidR="000C5B33" w:rsidRDefault="000C5B33" w:rsidP="000C5B33">
      <w:pPr>
        <w:pStyle w:val="Paragraphedeliste"/>
        <w:numPr>
          <w:ilvl w:val="0"/>
          <w:numId w:val="1"/>
        </w:numPr>
      </w:pPr>
      <w:r>
        <w:t>Les exploitations agricoles</w:t>
      </w:r>
    </w:p>
    <w:p w:rsidR="000C5B33" w:rsidRDefault="000C5B33" w:rsidP="000C5B33">
      <w:pPr>
        <w:pStyle w:val="Paragraphedeliste"/>
        <w:numPr>
          <w:ilvl w:val="0"/>
          <w:numId w:val="1"/>
        </w:numPr>
      </w:pPr>
      <w:r>
        <w:t>Les établissements industriels et artisanaux</w:t>
      </w:r>
    </w:p>
    <w:p w:rsidR="000C5B33" w:rsidRDefault="000C5B33" w:rsidP="000C5B33">
      <w:pPr>
        <w:pStyle w:val="Paragraphedeliste"/>
        <w:numPr>
          <w:ilvl w:val="0"/>
          <w:numId w:val="1"/>
        </w:numPr>
      </w:pPr>
      <w:r>
        <w:t>Les établissements recevant du public</w:t>
      </w:r>
    </w:p>
    <w:p w:rsidR="000C5B33" w:rsidRDefault="000C5B33" w:rsidP="000C5B33">
      <w:pPr>
        <w:pStyle w:val="Paragraphedeliste"/>
        <w:numPr>
          <w:ilvl w:val="0"/>
          <w:numId w:val="1"/>
        </w:numPr>
      </w:pPr>
      <w:r>
        <w:t>Les constructions et installations diverses.</w:t>
      </w:r>
    </w:p>
    <w:p w:rsidR="0042366D" w:rsidRDefault="0042366D" w:rsidP="006A74AC">
      <w:pPr>
        <w:jc w:val="both"/>
      </w:pPr>
      <w:r>
        <w:t xml:space="preserve">Les </w:t>
      </w:r>
      <w:r w:rsidR="00C87238">
        <w:t>bâtiments f</w:t>
      </w:r>
      <w:r>
        <w:t>ont</w:t>
      </w:r>
      <w:r w:rsidR="00C87238">
        <w:t xml:space="preserve"> l’objet d’un classement </w:t>
      </w:r>
      <w:r w:rsidR="006A74AC">
        <w:t>selon les risques</w:t>
      </w:r>
      <w:r w:rsidR="00BA124E">
        <w:t xml:space="preserve"> qu’il</w:t>
      </w:r>
      <w:r>
        <w:t>s</w:t>
      </w:r>
      <w:r w:rsidR="00BA124E">
        <w:t xml:space="preserve"> </w:t>
      </w:r>
      <w:r w:rsidR="006A74AC">
        <w:t>présent</w:t>
      </w:r>
      <w:r w:rsidR="00BA124E">
        <w:t>e</w:t>
      </w:r>
      <w:r>
        <w:t>nt</w:t>
      </w:r>
      <w:r w:rsidR="006A74AC">
        <w:t xml:space="preserve">. </w:t>
      </w:r>
      <w:r>
        <w:t>On distingue :</w:t>
      </w:r>
    </w:p>
    <w:p w:rsidR="0042366D" w:rsidRDefault="0042366D" w:rsidP="0042366D">
      <w:pPr>
        <w:pStyle w:val="Paragraphedeliste"/>
        <w:numPr>
          <w:ilvl w:val="0"/>
          <w:numId w:val="3"/>
        </w:numPr>
        <w:jc w:val="both"/>
      </w:pPr>
      <w:r>
        <w:t xml:space="preserve">Les risques courants (faibles, modérés ou significatifs) pour lesquels des mesures </w:t>
      </w:r>
      <w:r w:rsidR="00C87238">
        <w:t xml:space="preserve">génériques </w:t>
      </w:r>
      <w:r w:rsidR="00BA124E">
        <w:t>sont en principe adaptées</w:t>
      </w:r>
      <w:r>
        <w:t> ;</w:t>
      </w:r>
    </w:p>
    <w:p w:rsidR="000C5B33" w:rsidRDefault="0042366D" w:rsidP="0042366D">
      <w:pPr>
        <w:pStyle w:val="Paragraphedeliste"/>
        <w:numPr>
          <w:ilvl w:val="0"/>
          <w:numId w:val="3"/>
        </w:numPr>
        <w:jc w:val="both"/>
      </w:pPr>
      <w:r>
        <w:t>L</w:t>
      </w:r>
      <w:r w:rsidR="00BA124E">
        <w:t xml:space="preserve">es </w:t>
      </w:r>
      <w:r w:rsidR="00D61266">
        <w:t>risque</w:t>
      </w:r>
      <w:r w:rsidR="00BA124E">
        <w:t>s</w:t>
      </w:r>
      <w:r w:rsidR="00C87238">
        <w:t xml:space="preserve"> particulier</w:t>
      </w:r>
      <w:r w:rsidR="00BA124E">
        <w:t xml:space="preserve">s </w:t>
      </w:r>
      <w:r w:rsidR="00C87238">
        <w:t xml:space="preserve">pour </w:t>
      </w:r>
      <w:r w:rsidR="006A74AC">
        <w:t>le</w:t>
      </w:r>
      <w:r w:rsidR="00BA124E">
        <w:t>s</w:t>
      </w:r>
      <w:r w:rsidR="006A74AC">
        <w:t>quel</w:t>
      </w:r>
      <w:r w:rsidR="00BA124E">
        <w:t>s</w:t>
      </w:r>
      <w:r w:rsidR="006A74AC">
        <w:t xml:space="preserve"> une approche individualisée </w:t>
      </w:r>
      <w:r>
        <w:t>est</w:t>
      </w:r>
      <w:r w:rsidR="00BA124E">
        <w:t xml:space="preserve"> requise</w:t>
      </w:r>
      <w:r w:rsidR="006A74AC">
        <w:t xml:space="preserve">. </w:t>
      </w:r>
    </w:p>
    <w:p w:rsidR="0042366D" w:rsidRDefault="0042366D" w:rsidP="0042366D">
      <w:pPr>
        <w:jc w:val="both"/>
      </w:pPr>
      <w:r>
        <w:t>La quantité, la qualité et l’implantation des points d’eau incendie nécessaires à la couverture de ces risques sont définies dans le règlement départemental de la défense extérieure contre l’incendie</w:t>
      </w:r>
      <w:r w:rsidR="00300987">
        <w:t xml:space="preserve"> du département de la Meuse</w:t>
      </w:r>
      <w:r>
        <w:t>.</w:t>
      </w:r>
    </w:p>
    <w:p w:rsidR="001C68FE" w:rsidRPr="0042366D" w:rsidRDefault="001C68FE" w:rsidP="000C5B33">
      <w:pPr>
        <w:rPr>
          <w:b/>
        </w:rPr>
      </w:pPr>
      <w:r w:rsidRPr="0042366D">
        <w:rPr>
          <w:b/>
        </w:rPr>
        <w:t>ARTICLE 2 :</w:t>
      </w:r>
      <w:r w:rsidR="00D61266" w:rsidRPr="0042366D">
        <w:rPr>
          <w:b/>
        </w:rPr>
        <w:t xml:space="preserve"> Etat des points d’eau incendie</w:t>
      </w:r>
    </w:p>
    <w:p w:rsidR="002F6E8E" w:rsidRDefault="0042366D" w:rsidP="00C42B16">
      <w:pPr>
        <w:jc w:val="both"/>
      </w:pPr>
      <w:r>
        <w:t xml:space="preserve">Les points d’eau </w:t>
      </w:r>
      <w:proofErr w:type="gramStart"/>
      <w:r>
        <w:t>incendie</w:t>
      </w:r>
      <w:proofErr w:type="gramEnd"/>
      <w:r>
        <w:t xml:space="preserve"> contribuant à la défense extérieure contre l’incendie de la commune de XXX à la date du xx</w:t>
      </w:r>
      <w:r w:rsidR="00C42B16">
        <w:t>/xx/2023 sont listés en annexe du présent arrêté. Ne figure</w:t>
      </w:r>
      <w:r w:rsidR="00E40943">
        <w:t>nt</w:t>
      </w:r>
      <w:r w:rsidR="00C42B16">
        <w:t xml:space="preserve"> que les points d’eau conformes au règlement départemental de défense extérieure contre l’incendie et relevant du</w:t>
      </w:r>
      <w:r w:rsidR="00E40943">
        <w:t xml:space="preserve"> pouvoir de police spéciale du m</w:t>
      </w:r>
      <w:r w:rsidR="00C42B16">
        <w:t xml:space="preserve">aire. </w:t>
      </w:r>
      <w:r w:rsidR="002F6E8E">
        <w:t xml:space="preserve"> </w:t>
      </w:r>
    </w:p>
    <w:p w:rsidR="00D61266" w:rsidRPr="00C42B16" w:rsidRDefault="002F6E8E" w:rsidP="000C5B33">
      <w:pPr>
        <w:rPr>
          <w:b/>
        </w:rPr>
      </w:pPr>
      <w:r>
        <w:lastRenderedPageBreak/>
        <w:t xml:space="preserve"> </w:t>
      </w:r>
      <w:r w:rsidR="00C42B16" w:rsidRPr="00C42B16">
        <w:rPr>
          <w:b/>
        </w:rPr>
        <w:t>ARTICLE 3 : Modalités de réalisation des contrôles techniques des points d’eau incendie</w:t>
      </w:r>
    </w:p>
    <w:p w:rsidR="00E40943" w:rsidRDefault="00C42B16" w:rsidP="000C5B33">
      <w:pPr>
        <w:rPr>
          <w:b/>
        </w:rPr>
      </w:pPr>
      <w:r>
        <w:t xml:space="preserve">Conformément au règlement départemental de défense extérieure contre l’incendie, les contrôles fonctionnels et les mesures de débit/pression des points d’eau incendie sous pression sont réalisés tous les 3 ans. </w:t>
      </w:r>
    </w:p>
    <w:p w:rsidR="00345C57" w:rsidRPr="00345C57" w:rsidRDefault="00345C57" w:rsidP="000C5B33">
      <w:pPr>
        <w:rPr>
          <w:b/>
        </w:rPr>
      </w:pPr>
      <w:r w:rsidRPr="00345C57">
        <w:rPr>
          <w:b/>
        </w:rPr>
        <w:t xml:space="preserve">ARTICLE 4 : </w:t>
      </w:r>
      <w:r w:rsidR="007C1058">
        <w:rPr>
          <w:b/>
        </w:rPr>
        <w:t>Information du Service Départemental d’Incendie et de Secours</w:t>
      </w:r>
    </w:p>
    <w:p w:rsidR="007C1058" w:rsidRPr="00345C57" w:rsidRDefault="007C1058" w:rsidP="007C1058">
      <w:pPr>
        <w:jc w:val="both"/>
      </w:pPr>
      <w:r>
        <w:t xml:space="preserve">Les résultats des contrôles visés à l’article précédent doivent être adressés au service prévision du SDIS via l’adresse électronique suivante :  </w:t>
      </w:r>
      <w:hyperlink r:id="rId5" w:history="1">
        <w:r w:rsidRPr="0059168F">
          <w:rPr>
            <w:rStyle w:val="Lienhypertexte"/>
          </w:rPr>
          <w:t>prevision55@sdis55.fr</w:t>
        </w:r>
      </w:hyperlink>
    </w:p>
    <w:p w:rsidR="007C1058" w:rsidRDefault="007C1058" w:rsidP="00345C57">
      <w:pPr>
        <w:jc w:val="both"/>
      </w:pPr>
      <w:r>
        <w:t>Le maire doit en outre informer le SDIS par cette même voie :</w:t>
      </w:r>
    </w:p>
    <w:p w:rsidR="007C1058" w:rsidRDefault="007C1058" w:rsidP="007C1058">
      <w:pPr>
        <w:pStyle w:val="Paragraphedeliste"/>
        <w:numPr>
          <w:ilvl w:val="0"/>
          <w:numId w:val="3"/>
        </w:numPr>
        <w:jc w:val="both"/>
      </w:pPr>
      <w:r>
        <w:t>Lors d’une</w:t>
      </w:r>
      <w:r w:rsidR="00345C57">
        <w:t xml:space="preserve"> indisponibilité constatée ou programmée d’un point d’eau </w:t>
      </w:r>
      <w:r>
        <w:t>incendie et lors de sa remise en service ;</w:t>
      </w:r>
    </w:p>
    <w:p w:rsidR="00345C57" w:rsidRDefault="007C1058" w:rsidP="007C1058">
      <w:pPr>
        <w:pStyle w:val="Paragraphedeliste"/>
        <w:numPr>
          <w:ilvl w:val="0"/>
          <w:numId w:val="3"/>
        </w:numPr>
        <w:jc w:val="both"/>
      </w:pPr>
      <w:r>
        <w:t> Lors de la</w:t>
      </w:r>
      <w:r w:rsidR="00345C57">
        <w:t xml:space="preserve"> création d’un nouveau point d’eau incendie, qu’il soit public ou privé.</w:t>
      </w:r>
    </w:p>
    <w:p w:rsidR="00345C57" w:rsidRDefault="00345C57" w:rsidP="007C1058">
      <w:pPr>
        <w:jc w:val="both"/>
      </w:pPr>
      <w:r>
        <w:t xml:space="preserve"> </w:t>
      </w:r>
      <w:r w:rsidR="007C1058">
        <w:t>Le</w:t>
      </w:r>
      <w:r w:rsidR="00E40943">
        <w:t xml:space="preserve"> maire est chargé, en ce qui le concerne, de l’exécution du présent arrêté qui sera notifié au préfet de la Meuse et transmis au SDIS de la Meuse.</w:t>
      </w:r>
    </w:p>
    <w:p w:rsidR="00E40943" w:rsidRDefault="00E40943" w:rsidP="007C1058">
      <w:pPr>
        <w:jc w:val="both"/>
      </w:pPr>
    </w:p>
    <w:p w:rsidR="00E40943" w:rsidRDefault="00675539" w:rsidP="007C1058">
      <w:pPr>
        <w:jc w:val="both"/>
      </w:pPr>
      <w:r>
        <w:t xml:space="preserve">                                                                                                                                             Le Maire,</w:t>
      </w:r>
      <w:bookmarkStart w:id="0" w:name="_GoBack"/>
      <w:bookmarkEnd w:id="0"/>
    </w:p>
    <w:p w:rsidR="00E40943" w:rsidRDefault="00E40943" w:rsidP="007C1058">
      <w:pPr>
        <w:jc w:val="both"/>
      </w:pPr>
    </w:p>
    <w:p w:rsidR="00E40943" w:rsidRDefault="00E40943" w:rsidP="007C1058">
      <w:pPr>
        <w:jc w:val="both"/>
      </w:pPr>
    </w:p>
    <w:p w:rsidR="00E40943" w:rsidRDefault="00E40943" w:rsidP="007C1058">
      <w:pPr>
        <w:jc w:val="both"/>
      </w:pPr>
    </w:p>
    <w:p w:rsidR="00E40943" w:rsidRDefault="00E40943" w:rsidP="007C1058">
      <w:pPr>
        <w:jc w:val="both"/>
      </w:pPr>
    </w:p>
    <w:p w:rsidR="00E40943" w:rsidRDefault="00E40943" w:rsidP="007C1058">
      <w:pPr>
        <w:jc w:val="both"/>
      </w:pPr>
    </w:p>
    <w:p w:rsidR="00E40943" w:rsidRDefault="00E40943" w:rsidP="007C1058">
      <w:pPr>
        <w:jc w:val="both"/>
      </w:pPr>
    </w:p>
    <w:p w:rsidR="00E40943" w:rsidRDefault="00E40943" w:rsidP="007C1058">
      <w:pPr>
        <w:jc w:val="both"/>
      </w:pPr>
    </w:p>
    <w:p w:rsidR="00E40943" w:rsidRDefault="00E40943" w:rsidP="007C1058">
      <w:pPr>
        <w:jc w:val="both"/>
      </w:pPr>
    </w:p>
    <w:p w:rsidR="00E40943" w:rsidRDefault="00E40943" w:rsidP="007C1058">
      <w:pPr>
        <w:jc w:val="both"/>
      </w:pPr>
    </w:p>
    <w:p w:rsidR="00E40943" w:rsidRDefault="00E40943" w:rsidP="007C1058">
      <w:pPr>
        <w:jc w:val="both"/>
      </w:pPr>
    </w:p>
    <w:p w:rsidR="00E40943" w:rsidRDefault="00E40943" w:rsidP="007C1058">
      <w:pPr>
        <w:jc w:val="both"/>
      </w:pPr>
    </w:p>
    <w:p w:rsidR="00E40943" w:rsidRDefault="00E40943" w:rsidP="007C1058">
      <w:pPr>
        <w:jc w:val="both"/>
      </w:pPr>
    </w:p>
    <w:p w:rsidR="00E40943" w:rsidRDefault="00E40943" w:rsidP="007C1058">
      <w:pPr>
        <w:jc w:val="both"/>
      </w:pPr>
    </w:p>
    <w:p w:rsidR="00E40943" w:rsidRDefault="00E40943" w:rsidP="007C1058">
      <w:pPr>
        <w:jc w:val="both"/>
      </w:pPr>
    </w:p>
    <w:p w:rsidR="00E40943" w:rsidRDefault="00E40943" w:rsidP="007C1058">
      <w:pPr>
        <w:jc w:val="both"/>
      </w:pPr>
    </w:p>
    <w:p w:rsidR="00E40943" w:rsidRDefault="00E40943" w:rsidP="007C1058">
      <w:pPr>
        <w:jc w:val="both"/>
      </w:pPr>
    </w:p>
    <w:p w:rsidR="00E40943" w:rsidRDefault="00E40943" w:rsidP="007C1058">
      <w:pPr>
        <w:jc w:val="both"/>
      </w:pPr>
    </w:p>
    <w:p w:rsidR="00E40943" w:rsidRDefault="00E40943" w:rsidP="007C1058">
      <w:pPr>
        <w:jc w:val="both"/>
      </w:pPr>
    </w:p>
    <w:p w:rsidR="00E40943" w:rsidRDefault="00E40943" w:rsidP="007C1058">
      <w:pPr>
        <w:jc w:val="both"/>
        <w:sectPr w:rsidR="00E4094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40943" w:rsidRPr="00E40943" w:rsidRDefault="00E40943" w:rsidP="00E40943">
      <w:pPr>
        <w:jc w:val="center"/>
        <w:rPr>
          <w:b/>
        </w:rPr>
      </w:pPr>
      <w:r w:rsidRPr="00E40943">
        <w:rPr>
          <w:b/>
        </w:rPr>
        <w:lastRenderedPageBreak/>
        <w:t xml:space="preserve">Annexe à l’arrêté municipal </w:t>
      </w:r>
      <w:proofErr w:type="spellStart"/>
      <w:r w:rsidRPr="00E40943">
        <w:rPr>
          <w:b/>
        </w:rPr>
        <w:t>n°XXXX</w:t>
      </w:r>
      <w:proofErr w:type="spellEnd"/>
    </w:p>
    <w:p w:rsidR="00E40943" w:rsidRDefault="00E40943" w:rsidP="00E40943">
      <w:pPr>
        <w:jc w:val="center"/>
      </w:pPr>
      <w:r>
        <w:t>LISTE DES POINTS D’EAU INCENDIE DE LA COMMUNE DE XXXXXX</w:t>
      </w:r>
    </w:p>
    <w:p w:rsidR="00E40943" w:rsidRDefault="00E40943" w:rsidP="00E40943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2495"/>
        <w:gridCol w:w="2041"/>
        <w:gridCol w:w="1701"/>
        <w:gridCol w:w="1694"/>
      </w:tblGrid>
      <w:tr w:rsidR="000A1BFC" w:rsidTr="004A3776"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0A1BFC" w:rsidRPr="000A1BFC" w:rsidRDefault="000A1BFC" w:rsidP="000A1BFC">
            <w:pPr>
              <w:jc w:val="center"/>
              <w:rPr>
                <w:b/>
              </w:rPr>
            </w:pPr>
            <w:r w:rsidRPr="000A1BFC">
              <w:rPr>
                <w:b/>
              </w:rPr>
              <w:t>Numéro du PEI</w:t>
            </w:r>
          </w:p>
        </w:tc>
        <w:tc>
          <w:tcPr>
            <w:tcW w:w="2495" w:type="dxa"/>
            <w:shd w:val="clear" w:color="auto" w:fill="D9D9D9" w:themeFill="background1" w:themeFillShade="D9"/>
            <w:vAlign w:val="center"/>
          </w:tcPr>
          <w:p w:rsidR="000A1BFC" w:rsidRPr="000A1BFC" w:rsidRDefault="000A1BFC" w:rsidP="000A1BFC">
            <w:pPr>
              <w:jc w:val="center"/>
              <w:rPr>
                <w:b/>
              </w:rPr>
            </w:pPr>
            <w:r w:rsidRPr="000A1BFC">
              <w:rPr>
                <w:b/>
              </w:rPr>
              <w:t>Adresse</w:t>
            </w:r>
          </w:p>
        </w:tc>
        <w:tc>
          <w:tcPr>
            <w:tcW w:w="2041" w:type="dxa"/>
            <w:shd w:val="clear" w:color="auto" w:fill="D9D9D9" w:themeFill="background1" w:themeFillShade="D9"/>
            <w:vAlign w:val="center"/>
          </w:tcPr>
          <w:p w:rsidR="000A1BFC" w:rsidRPr="000A1BFC" w:rsidRDefault="000A1BFC" w:rsidP="000A1BFC">
            <w:pPr>
              <w:jc w:val="center"/>
              <w:rPr>
                <w:b/>
              </w:rPr>
            </w:pPr>
            <w:r w:rsidRPr="000A1BFC">
              <w:rPr>
                <w:b/>
              </w:rPr>
              <w:t>Type de PEI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A1BFC" w:rsidRPr="000A1BFC" w:rsidRDefault="000A1BFC" w:rsidP="000A1BFC">
            <w:pPr>
              <w:jc w:val="center"/>
              <w:rPr>
                <w:b/>
              </w:rPr>
            </w:pPr>
            <w:r w:rsidRPr="000A1BFC">
              <w:rPr>
                <w:b/>
              </w:rPr>
              <w:t>Débit en m</w:t>
            </w:r>
            <w:r w:rsidRPr="000A1BFC">
              <w:rPr>
                <w:b/>
                <w:vertAlign w:val="superscript"/>
              </w:rPr>
              <w:t>3</w:t>
            </w:r>
            <w:r w:rsidRPr="000A1BFC">
              <w:rPr>
                <w:b/>
              </w:rPr>
              <w:t>/h à 1 bar de pression dynamique ou capacité en m</w:t>
            </w:r>
            <w:r w:rsidRPr="000A1BFC">
              <w:rPr>
                <w:b/>
                <w:vertAlign w:val="superscript"/>
              </w:rPr>
              <w:t>3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0A1BFC" w:rsidRPr="000A1BFC" w:rsidRDefault="000A1BFC" w:rsidP="000A1BFC">
            <w:pPr>
              <w:jc w:val="center"/>
              <w:rPr>
                <w:b/>
              </w:rPr>
            </w:pPr>
            <w:r w:rsidRPr="000A1BFC">
              <w:rPr>
                <w:b/>
              </w:rPr>
              <w:t>Statut</w:t>
            </w:r>
          </w:p>
        </w:tc>
      </w:tr>
      <w:tr w:rsidR="000A1BFC" w:rsidTr="004A3776">
        <w:tc>
          <w:tcPr>
            <w:tcW w:w="1129" w:type="dxa"/>
            <w:vAlign w:val="center"/>
          </w:tcPr>
          <w:p w:rsidR="000A1BFC" w:rsidRDefault="000A1BFC" w:rsidP="000A1BFC">
            <w:pPr>
              <w:jc w:val="center"/>
            </w:pPr>
            <w:r>
              <w:t>00001</w:t>
            </w:r>
          </w:p>
        </w:tc>
        <w:tc>
          <w:tcPr>
            <w:tcW w:w="2495" w:type="dxa"/>
            <w:vAlign w:val="center"/>
          </w:tcPr>
          <w:p w:rsidR="000A1BFC" w:rsidRDefault="000A1BFC" w:rsidP="000A1BFC">
            <w:pPr>
              <w:jc w:val="center"/>
            </w:pPr>
            <w:r>
              <w:t>12 rue B</w:t>
            </w:r>
          </w:p>
        </w:tc>
        <w:tc>
          <w:tcPr>
            <w:tcW w:w="2041" w:type="dxa"/>
            <w:vAlign w:val="center"/>
          </w:tcPr>
          <w:p w:rsidR="000A1BFC" w:rsidRDefault="000A1BFC" w:rsidP="000A1BFC">
            <w:pPr>
              <w:jc w:val="center"/>
            </w:pPr>
            <w:r>
              <w:t>Réserve incendie</w:t>
            </w:r>
          </w:p>
        </w:tc>
        <w:tc>
          <w:tcPr>
            <w:tcW w:w="1701" w:type="dxa"/>
            <w:vAlign w:val="center"/>
          </w:tcPr>
          <w:p w:rsidR="000A1BFC" w:rsidRDefault="000A1BFC" w:rsidP="000A1BFC">
            <w:pPr>
              <w:jc w:val="center"/>
            </w:pPr>
            <w:r>
              <w:t>120 m</w:t>
            </w:r>
            <w:r w:rsidRPr="000A1BFC">
              <w:rPr>
                <w:vertAlign w:val="superscript"/>
              </w:rPr>
              <w:t>3</w:t>
            </w:r>
          </w:p>
        </w:tc>
        <w:tc>
          <w:tcPr>
            <w:tcW w:w="1694" w:type="dxa"/>
            <w:vAlign w:val="center"/>
          </w:tcPr>
          <w:p w:rsidR="000A1BFC" w:rsidRDefault="000A1BFC" w:rsidP="004A3776">
            <w:pPr>
              <w:jc w:val="center"/>
            </w:pPr>
            <w:r>
              <w:t>P</w:t>
            </w:r>
            <w:r w:rsidR="004A3776">
              <w:t>rivé (convention)</w:t>
            </w:r>
          </w:p>
        </w:tc>
      </w:tr>
      <w:tr w:rsidR="000A1BFC" w:rsidTr="004A3776">
        <w:tc>
          <w:tcPr>
            <w:tcW w:w="1129" w:type="dxa"/>
            <w:vAlign w:val="center"/>
          </w:tcPr>
          <w:p w:rsidR="000A1BFC" w:rsidRDefault="000A1BFC" w:rsidP="000A1BFC">
            <w:pPr>
              <w:jc w:val="center"/>
            </w:pPr>
            <w:r>
              <w:t>00002</w:t>
            </w:r>
          </w:p>
        </w:tc>
        <w:tc>
          <w:tcPr>
            <w:tcW w:w="2495" w:type="dxa"/>
            <w:vAlign w:val="center"/>
          </w:tcPr>
          <w:p w:rsidR="000A1BFC" w:rsidRDefault="000A1BFC" w:rsidP="000A1BFC">
            <w:pPr>
              <w:jc w:val="center"/>
            </w:pPr>
            <w:r>
              <w:t>2 rue D</w:t>
            </w:r>
          </w:p>
        </w:tc>
        <w:tc>
          <w:tcPr>
            <w:tcW w:w="2041" w:type="dxa"/>
            <w:vAlign w:val="center"/>
          </w:tcPr>
          <w:p w:rsidR="000A1BFC" w:rsidRDefault="000A1BFC" w:rsidP="000A1BFC">
            <w:pPr>
              <w:jc w:val="center"/>
            </w:pPr>
            <w:r>
              <w:t>Poteau d’incendie</w:t>
            </w:r>
          </w:p>
        </w:tc>
        <w:tc>
          <w:tcPr>
            <w:tcW w:w="1701" w:type="dxa"/>
            <w:vAlign w:val="center"/>
          </w:tcPr>
          <w:p w:rsidR="000A1BFC" w:rsidRDefault="004A3776" w:rsidP="000A1BFC">
            <w:pPr>
              <w:jc w:val="center"/>
            </w:pPr>
            <w:r>
              <w:t>60 m</w:t>
            </w:r>
            <w:r w:rsidRPr="004A3776">
              <w:rPr>
                <w:vertAlign w:val="superscript"/>
              </w:rPr>
              <w:t>3</w:t>
            </w:r>
            <w:r>
              <w:t>/h</w:t>
            </w:r>
          </w:p>
        </w:tc>
        <w:tc>
          <w:tcPr>
            <w:tcW w:w="1694" w:type="dxa"/>
            <w:vAlign w:val="center"/>
          </w:tcPr>
          <w:p w:rsidR="000A1BFC" w:rsidRDefault="004A3776" w:rsidP="000A1BFC">
            <w:pPr>
              <w:jc w:val="center"/>
            </w:pPr>
            <w:r>
              <w:t>Public</w:t>
            </w:r>
          </w:p>
        </w:tc>
      </w:tr>
      <w:tr w:rsidR="000A1BFC" w:rsidTr="004A3776">
        <w:tc>
          <w:tcPr>
            <w:tcW w:w="1129" w:type="dxa"/>
          </w:tcPr>
          <w:p w:rsidR="000A1BFC" w:rsidRDefault="000A1BFC" w:rsidP="000A1BFC">
            <w:pPr>
              <w:jc w:val="center"/>
            </w:pPr>
          </w:p>
        </w:tc>
        <w:tc>
          <w:tcPr>
            <w:tcW w:w="2495" w:type="dxa"/>
          </w:tcPr>
          <w:p w:rsidR="000A1BFC" w:rsidRDefault="000A1BFC" w:rsidP="000A1BFC">
            <w:pPr>
              <w:jc w:val="center"/>
            </w:pPr>
          </w:p>
        </w:tc>
        <w:tc>
          <w:tcPr>
            <w:tcW w:w="2041" w:type="dxa"/>
          </w:tcPr>
          <w:p w:rsidR="000A1BFC" w:rsidRDefault="000A1BFC" w:rsidP="000A1BFC">
            <w:pPr>
              <w:jc w:val="center"/>
            </w:pPr>
          </w:p>
        </w:tc>
        <w:tc>
          <w:tcPr>
            <w:tcW w:w="1701" w:type="dxa"/>
          </w:tcPr>
          <w:p w:rsidR="000A1BFC" w:rsidRDefault="000A1BFC" w:rsidP="000A1BFC">
            <w:pPr>
              <w:jc w:val="center"/>
            </w:pPr>
          </w:p>
        </w:tc>
        <w:tc>
          <w:tcPr>
            <w:tcW w:w="1694" w:type="dxa"/>
          </w:tcPr>
          <w:p w:rsidR="000A1BFC" w:rsidRDefault="000A1BFC" w:rsidP="000A1BFC">
            <w:pPr>
              <w:jc w:val="center"/>
            </w:pPr>
          </w:p>
        </w:tc>
      </w:tr>
      <w:tr w:rsidR="000A1BFC" w:rsidTr="004A3776">
        <w:tc>
          <w:tcPr>
            <w:tcW w:w="1129" w:type="dxa"/>
          </w:tcPr>
          <w:p w:rsidR="000A1BFC" w:rsidRDefault="000A1BFC" w:rsidP="000A1BFC">
            <w:pPr>
              <w:jc w:val="center"/>
            </w:pPr>
          </w:p>
        </w:tc>
        <w:tc>
          <w:tcPr>
            <w:tcW w:w="2495" w:type="dxa"/>
          </w:tcPr>
          <w:p w:rsidR="000A1BFC" w:rsidRDefault="000A1BFC" w:rsidP="000A1BFC">
            <w:pPr>
              <w:jc w:val="center"/>
            </w:pPr>
          </w:p>
        </w:tc>
        <w:tc>
          <w:tcPr>
            <w:tcW w:w="2041" w:type="dxa"/>
          </w:tcPr>
          <w:p w:rsidR="000A1BFC" w:rsidRDefault="000A1BFC" w:rsidP="000A1BFC">
            <w:pPr>
              <w:jc w:val="center"/>
            </w:pPr>
          </w:p>
        </w:tc>
        <w:tc>
          <w:tcPr>
            <w:tcW w:w="1701" w:type="dxa"/>
          </w:tcPr>
          <w:p w:rsidR="000A1BFC" w:rsidRDefault="000A1BFC" w:rsidP="000A1BFC">
            <w:pPr>
              <w:jc w:val="center"/>
            </w:pPr>
          </w:p>
        </w:tc>
        <w:tc>
          <w:tcPr>
            <w:tcW w:w="1694" w:type="dxa"/>
          </w:tcPr>
          <w:p w:rsidR="000A1BFC" w:rsidRDefault="000A1BFC" w:rsidP="000A1BFC">
            <w:pPr>
              <w:jc w:val="center"/>
            </w:pPr>
          </w:p>
        </w:tc>
      </w:tr>
      <w:tr w:rsidR="000A1BFC" w:rsidTr="004A3776">
        <w:tc>
          <w:tcPr>
            <w:tcW w:w="1129" w:type="dxa"/>
          </w:tcPr>
          <w:p w:rsidR="000A1BFC" w:rsidRDefault="000A1BFC" w:rsidP="000A1BFC">
            <w:pPr>
              <w:jc w:val="center"/>
            </w:pPr>
          </w:p>
        </w:tc>
        <w:tc>
          <w:tcPr>
            <w:tcW w:w="2495" w:type="dxa"/>
          </w:tcPr>
          <w:p w:rsidR="000A1BFC" w:rsidRDefault="000A1BFC" w:rsidP="000A1BFC">
            <w:pPr>
              <w:jc w:val="center"/>
            </w:pPr>
          </w:p>
        </w:tc>
        <w:tc>
          <w:tcPr>
            <w:tcW w:w="2041" w:type="dxa"/>
          </w:tcPr>
          <w:p w:rsidR="000A1BFC" w:rsidRDefault="000A1BFC" w:rsidP="000A1BFC">
            <w:pPr>
              <w:jc w:val="center"/>
            </w:pPr>
          </w:p>
        </w:tc>
        <w:tc>
          <w:tcPr>
            <w:tcW w:w="1701" w:type="dxa"/>
          </w:tcPr>
          <w:p w:rsidR="000A1BFC" w:rsidRDefault="000A1BFC" w:rsidP="000A1BFC">
            <w:pPr>
              <w:jc w:val="center"/>
            </w:pPr>
          </w:p>
        </w:tc>
        <w:tc>
          <w:tcPr>
            <w:tcW w:w="1694" w:type="dxa"/>
          </w:tcPr>
          <w:p w:rsidR="000A1BFC" w:rsidRDefault="000A1BFC" w:rsidP="000A1BFC">
            <w:pPr>
              <w:jc w:val="center"/>
            </w:pPr>
          </w:p>
        </w:tc>
      </w:tr>
      <w:tr w:rsidR="000A1BFC" w:rsidTr="004A3776">
        <w:tc>
          <w:tcPr>
            <w:tcW w:w="1129" w:type="dxa"/>
          </w:tcPr>
          <w:p w:rsidR="000A1BFC" w:rsidRDefault="000A1BFC" w:rsidP="000A1BFC">
            <w:pPr>
              <w:jc w:val="center"/>
            </w:pPr>
          </w:p>
        </w:tc>
        <w:tc>
          <w:tcPr>
            <w:tcW w:w="2495" w:type="dxa"/>
          </w:tcPr>
          <w:p w:rsidR="000A1BFC" w:rsidRDefault="000A1BFC" w:rsidP="000A1BFC">
            <w:pPr>
              <w:jc w:val="center"/>
            </w:pPr>
          </w:p>
        </w:tc>
        <w:tc>
          <w:tcPr>
            <w:tcW w:w="2041" w:type="dxa"/>
          </w:tcPr>
          <w:p w:rsidR="000A1BFC" w:rsidRDefault="000A1BFC" w:rsidP="000A1BFC">
            <w:pPr>
              <w:jc w:val="center"/>
            </w:pPr>
          </w:p>
        </w:tc>
        <w:tc>
          <w:tcPr>
            <w:tcW w:w="1701" w:type="dxa"/>
          </w:tcPr>
          <w:p w:rsidR="000A1BFC" w:rsidRDefault="000A1BFC" w:rsidP="000A1BFC">
            <w:pPr>
              <w:jc w:val="center"/>
            </w:pPr>
          </w:p>
        </w:tc>
        <w:tc>
          <w:tcPr>
            <w:tcW w:w="1694" w:type="dxa"/>
          </w:tcPr>
          <w:p w:rsidR="000A1BFC" w:rsidRDefault="000A1BFC" w:rsidP="000A1BFC">
            <w:pPr>
              <w:jc w:val="center"/>
            </w:pPr>
          </w:p>
        </w:tc>
      </w:tr>
      <w:tr w:rsidR="000A1BFC" w:rsidTr="004A3776">
        <w:tc>
          <w:tcPr>
            <w:tcW w:w="1129" w:type="dxa"/>
          </w:tcPr>
          <w:p w:rsidR="000A1BFC" w:rsidRDefault="000A1BFC" w:rsidP="000A1BFC">
            <w:pPr>
              <w:jc w:val="center"/>
            </w:pPr>
          </w:p>
        </w:tc>
        <w:tc>
          <w:tcPr>
            <w:tcW w:w="2495" w:type="dxa"/>
          </w:tcPr>
          <w:p w:rsidR="000A1BFC" w:rsidRDefault="000A1BFC" w:rsidP="000A1BFC">
            <w:pPr>
              <w:jc w:val="center"/>
            </w:pPr>
          </w:p>
        </w:tc>
        <w:tc>
          <w:tcPr>
            <w:tcW w:w="2041" w:type="dxa"/>
          </w:tcPr>
          <w:p w:rsidR="000A1BFC" w:rsidRDefault="000A1BFC" w:rsidP="000A1BFC">
            <w:pPr>
              <w:jc w:val="center"/>
            </w:pPr>
          </w:p>
        </w:tc>
        <w:tc>
          <w:tcPr>
            <w:tcW w:w="1701" w:type="dxa"/>
          </w:tcPr>
          <w:p w:rsidR="000A1BFC" w:rsidRDefault="000A1BFC" w:rsidP="000A1BFC">
            <w:pPr>
              <w:jc w:val="center"/>
            </w:pPr>
          </w:p>
        </w:tc>
        <w:tc>
          <w:tcPr>
            <w:tcW w:w="1694" w:type="dxa"/>
          </w:tcPr>
          <w:p w:rsidR="000A1BFC" w:rsidRDefault="000A1BFC" w:rsidP="000A1BFC">
            <w:pPr>
              <w:jc w:val="center"/>
            </w:pPr>
          </w:p>
        </w:tc>
      </w:tr>
    </w:tbl>
    <w:p w:rsidR="00E40943" w:rsidRDefault="00E40943" w:rsidP="00E40943"/>
    <w:sectPr w:rsidR="00E40943" w:rsidSect="00E4094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938A9"/>
    <w:multiLevelType w:val="hybridMultilevel"/>
    <w:tmpl w:val="75A817BC"/>
    <w:lvl w:ilvl="0" w:tplc="EE5826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66B89"/>
    <w:multiLevelType w:val="hybridMultilevel"/>
    <w:tmpl w:val="8578D1F0"/>
    <w:lvl w:ilvl="0" w:tplc="040C0005">
      <w:start w:val="1"/>
      <w:numFmt w:val="bullet"/>
      <w:lvlText w:val=""/>
      <w:lvlJc w:val="left"/>
      <w:pPr>
        <w:ind w:left="8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391B0BF7"/>
    <w:multiLevelType w:val="hybridMultilevel"/>
    <w:tmpl w:val="1286DBEE"/>
    <w:lvl w:ilvl="0" w:tplc="F386DF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22"/>
    <w:rsid w:val="000A1BFC"/>
    <w:rsid w:val="000C5B33"/>
    <w:rsid w:val="00167987"/>
    <w:rsid w:val="001C68FE"/>
    <w:rsid w:val="002F6E8E"/>
    <w:rsid w:val="00300987"/>
    <w:rsid w:val="00345C57"/>
    <w:rsid w:val="00405D22"/>
    <w:rsid w:val="0042366D"/>
    <w:rsid w:val="00427243"/>
    <w:rsid w:val="004A3776"/>
    <w:rsid w:val="006434DF"/>
    <w:rsid w:val="00675539"/>
    <w:rsid w:val="006A74AC"/>
    <w:rsid w:val="00713DD8"/>
    <w:rsid w:val="00764D95"/>
    <w:rsid w:val="007C1058"/>
    <w:rsid w:val="00A539E2"/>
    <w:rsid w:val="00B264AD"/>
    <w:rsid w:val="00BA124E"/>
    <w:rsid w:val="00C42B16"/>
    <w:rsid w:val="00C620DD"/>
    <w:rsid w:val="00C87238"/>
    <w:rsid w:val="00CD5A5C"/>
    <w:rsid w:val="00CF3D19"/>
    <w:rsid w:val="00D61266"/>
    <w:rsid w:val="00E40943"/>
    <w:rsid w:val="00EE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2BC9"/>
  <w15:chartTrackingRefBased/>
  <w15:docId w15:val="{37F7D8E9-468E-485C-8303-9B4BA9C0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C5B3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45C57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A1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evision55@sdis55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566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CAUTENET</dc:creator>
  <cp:keywords/>
  <dc:description/>
  <cp:lastModifiedBy>Benjamin CAUTENET</cp:lastModifiedBy>
  <cp:revision>12</cp:revision>
  <dcterms:created xsi:type="dcterms:W3CDTF">2023-09-22T18:09:00Z</dcterms:created>
  <dcterms:modified xsi:type="dcterms:W3CDTF">2023-10-24T07:43:00Z</dcterms:modified>
</cp:coreProperties>
</file>